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162AFE" w:rsidRPr="00463A8C">
        <w:trPr>
          <w:trHeight w:hRule="exact" w:val="1666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162AF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62AFE" w:rsidRPr="00463A8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62AFE" w:rsidRPr="00463A8C">
        <w:trPr>
          <w:trHeight w:hRule="exact" w:val="211"/>
        </w:trPr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>
        <w:trPr>
          <w:trHeight w:hRule="exact" w:val="416"/>
        </w:trPr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62AFE" w:rsidRPr="00463A8C">
        <w:trPr>
          <w:trHeight w:hRule="exact" w:val="277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1277" w:type="dxa"/>
          </w:tcPr>
          <w:p w:rsidR="00162AFE" w:rsidRDefault="00162A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62AFE" w:rsidRPr="008E558F">
        <w:trPr>
          <w:trHeight w:hRule="exact" w:val="555"/>
        </w:trPr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2AFE" w:rsidRPr="008E558F" w:rsidRDefault="00463A8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162AFE">
        <w:trPr>
          <w:trHeight w:hRule="exact" w:val="277"/>
        </w:trPr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62AFE">
        <w:trPr>
          <w:trHeight w:hRule="exact" w:val="277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1277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  <w:tc>
          <w:tcPr>
            <w:tcW w:w="2836" w:type="dxa"/>
          </w:tcPr>
          <w:p w:rsidR="00162AFE" w:rsidRDefault="00162AFE"/>
        </w:tc>
      </w:tr>
      <w:tr w:rsidR="00162AF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62AFE" w:rsidRPr="00463A8C">
        <w:trPr>
          <w:trHeight w:hRule="exact" w:val="775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Психология игры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Б1.В.02.ДВ.01.02</w:t>
            </w:r>
          </w:p>
        </w:tc>
        <w:tc>
          <w:tcPr>
            <w:tcW w:w="283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62AFE" w:rsidRPr="00463A8C">
        <w:trPr>
          <w:trHeight w:hRule="exact" w:val="1396"/>
        </w:trPr>
        <w:tc>
          <w:tcPr>
            <w:tcW w:w="426" w:type="dxa"/>
          </w:tcPr>
          <w:p w:rsidR="00162AFE" w:rsidRDefault="00162AF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62AFE" w:rsidRPr="00463A8C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62AFE" w:rsidRPr="00463A8C">
        <w:trPr>
          <w:trHeight w:hRule="exact" w:val="416"/>
        </w:trPr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1277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  <w:tc>
          <w:tcPr>
            <w:tcW w:w="2836" w:type="dxa"/>
          </w:tcPr>
          <w:p w:rsidR="00162AFE" w:rsidRDefault="00162AFE"/>
        </w:tc>
      </w:tr>
      <w:tr w:rsidR="00162AFE">
        <w:trPr>
          <w:trHeight w:hRule="exact" w:val="155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1277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  <w:tc>
          <w:tcPr>
            <w:tcW w:w="2836" w:type="dxa"/>
          </w:tcPr>
          <w:p w:rsidR="00162AFE" w:rsidRDefault="00162AFE"/>
        </w:tc>
      </w:tr>
      <w:tr w:rsidR="00162AF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62AFE" w:rsidRPr="00463A8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62AFE" w:rsidRPr="00463A8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 w:rsidRPr="00463A8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162AF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162AFE">
        <w:trPr>
          <w:trHeight w:hRule="exact" w:val="2168"/>
        </w:trPr>
        <w:tc>
          <w:tcPr>
            <w:tcW w:w="426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1419" w:type="dxa"/>
          </w:tcPr>
          <w:p w:rsidR="00162AFE" w:rsidRDefault="00162AFE"/>
        </w:tc>
        <w:tc>
          <w:tcPr>
            <w:tcW w:w="710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1277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  <w:tc>
          <w:tcPr>
            <w:tcW w:w="2836" w:type="dxa"/>
          </w:tcPr>
          <w:p w:rsidR="00162AFE" w:rsidRDefault="00162AFE"/>
        </w:tc>
      </w:tr>
      <w:tr w:rsidR="00162AF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62AF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62AFE" w:rsidRPr="008E558F" w:rsidRDefault="00162A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62AFE" w:rsidRPr="008E558F" w:rsidRDefault="00162A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62AF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Князева Наталья Николаевна</w:t>
            </w:r>
          </w:p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62AFE" w:rsidRPr="00463A8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62AFE">
        <w:trPr>
          <w:trHeight w:hRule="exact" w:val="555"/>
        </w:trPr>
        <w:tc>
          <w:tcPr>
            <w:tcW w:w="9640" w:type="dxa"/>
          </w:tcPr>
          <w:p w:rsidR="00162AFE" w:rsidRDefault="00162AFE"/>
        </w:tc>
      </w:tr>
      <w:tr w:rsidR="00162AF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463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62AFE" w:rsidRPr="00463A8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 игры» в течение 2021/2022 учебного года: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463A8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Б1.В.02.ДВ.01.02 «Психология игры».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62AFE" w:rsidRPr="00463A8C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игры»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162A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62AFE" w:rsidRPr="00463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5.1 знать основы возрастной и педагогической психологии, методы, используемые в педагогике и психологии</w:t>
            </w: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</w:tc>
      </w:tr>
      <w:tr w:rsidR="00162AFE" w:rsidRPr="00463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5.3 знать основы проектирования индивидуальных образовательных маршрутов детей и обучающихся</w:t>
            </w: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162AFE" w:rsidRPr="00463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5.5 владеть технологиями развития детей,  согласно индивидуальных образовательных маршрутов</w:t>
            </w:r>
          </w:p>
        </w:tc>
      </w:tr>
      <w:tr w:rsidR="00162AFE" w:rsidRPr="00463A8C">
        <w:trPr>
          <w:trHeight w:hRule="exact" w:val="277"/>
        </w:trPr>
        <w:tc>
          <w:tcPr>
            <w:tcW w:w="964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162A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62AFE" w:rsidRPr="00463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7.2 знать основные психологические подходы к развитию детей: культурно- исторический,деятельностный и личностный; основы дошкольной педагогики; общие закономерности развития ребенка в раннем и дошкольном возрасте</w:t>
            </w:r>
          </w:p>
        </w:tc>
      </w:tr>
      <w:tr w:rsidR="00162AFE" w:rsidRPr="00463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162AFE" w:rsidRPr="00463A8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162AFE" w:rsidRPr="00463A8C">
        <w:trPr>
          <w:trHeight w:hRule="exact" w:val="108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62AFE" w:rsidRPr="00463A8C">
        <w:trPr>
          <w:trHeight w:hRule="exact" w:val="891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ИПК 7.6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162AFE" w:rsidRPr="00463A8C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7.7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162AFE" w:rsidRPr="00463A8C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7.8 уметь формировать психологическую готовность детей к школьному обучению</w:t>
            </w:r>
          </w:p>
        </w:tc>
      </w:tr>
      <w:tr w:rsidR="00162AFE" w:rsidRPr="00463A8C">
        <w:trPr>
          <w:trHeight w:hRule="exact" w:val="416"/>
        </w:trPr>
        <w:tc>
          <w:tcPr>
            <w:tcW w:w="397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 w:rsidRPr="00463A8C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62AFE" w:rsidRPr="00463A8C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Б1.В.02.ДВ.01.02 «Психология игры» относится к обязательной части, является дисциплиной Блока Б1. «Дисциплины (модули)». Модуль 14 "Предметно - практический"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162AFE" w:rsidRPr="00463A8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62AF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162AFE"/>
        </w:tc>
      </w:tr>
      <w:tr w:rsidR="00162AFE" w:rsidRPr="00463A8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8E558F">
            <w:pPr>
              <w:spacing w:after="0" w:line="240" w:lineRule="auto"/>
              <w:jc w:val="center"/>
              <w:rPr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lang w:val="ru-RU"/>
              </w:rPr>
              <w:t>Формирование игровой деятельности в дошкольном возрасте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дошкольников предпосылок к учебной деятельности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lang w:val="ru-RU"/>
              </w:rPr>
              <w:t>Технологии творческого развития детей дошкольного возраста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Pr="008E558F" w:rsidRDefault="008E558F">
            <w:pPr>
              <w:spacing w:after="0" w:line="240" w:lineRule="auto"/>
              <w:jc w:val="center"/>
              <w:rPr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lang w:val="ru-RU"/>
              </w:rPr>
              <w:t>Формирование игровой деятельности в дошкольном возрасте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ПК-7</w:t>
            </w:r>
          </w:p>
        </w:tc>
      </w:tr>
      <w:tr w:rsidR="00162AFE" w:rsidRPr="00463A8C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62AFE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416"/>
        </w:trPr>
        <w:tc>
          <w:tcPr>
            <w:tcW w:w="3970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852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</w:tr>
      <w:tr w:rsidR="00162AF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/>
        </w:tc>
      </w:tr>
      <w:tr w:rsidR="00162AFE">
        <w:trPr>
          <w:trHeight w:hRule="exact" w:val="277"/>
        </w:trPr>
        <w:tc>
          <w:tcPr>
            <w:tcW w:w="3970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852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</w:tr>
      <w:tr w:rsidR="00162AFE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2AFE" w:rsidRPr="008E558F" w:rsidRDefault="00162A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62AFE">
        <w:trPr>
          <w:trHeight w:hRule="exact" w:val="416"/>
        </w:trPr>
        <w:tc>
          <w:tcPr>
            <w:tcW w:w="3970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1702" w:type="dxa"/>
          </w:tcPr>
          <w:p w:rsidR="00162AFE" w:rsidRDefault="00162AFE"/>
        </w:tc>
        <w:tc>
          <w:tcPr>
            <w:tcW w:w="426" w:type="dxa"/>
          </w:tcPr>
          <w:p w:rsidR="00162AFE" w:rsidRDefault="00162AFE"/>
        </w:tc>
        <w:tc>
          <w:tcPr>
            <w:tcW w:w="852" w:type="dxa"/>
          </w:tcPr>
          <w:p w:rsidR="00162AFE" w:rsidRDefault="00162AFE"/>
        </w:tc>
        <w:tc>
          <w:tcPr>
            <w:tcW w:w="993" w:type="dxa"/>
          </w:tcPr>
          <w:p w:rsidR="00162AFE" w:rsidRDefault="00162AFE"/>
        </w:tc>
      </w:tr>
      <w:tr w:rsidR="00162AF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62AF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2AFE" w:rsidRDefault="00162AFE"/>
        </w:tc>
      </w:tr>
      <w:tr w:rsidR="00162AF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психологии игры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становления и развития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игровой деятельности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основных методов руководства игровой деятельностью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психологии игры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становления и развития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игровой деятельности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A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основных методов руководства игровой деятельностью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A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62A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AF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62AFE" w:rsidRPr="008E558F">
        <w:trPr>
          <w:trHeight w:hRule="exact" w:val="1068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62A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62A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62A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психологии игры</w:t>
            </w:r>
          </w:p>
        </w:tc>
      </w:tr>
      <w:tr w:rsidR="00162AFE" w:rsidRPr="008E558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в процессе становления ребёнка. Актуальность исследования ролевой игры как развёрнутой формы игровой деятельности.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Предпосылка возникновения игры - отстранение детей от труда взрослых. Воссоздание детьми сферы жизни и труда взрослых в игре.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 и функции игры. Социальный характер игры. Зарубежные и отечественные теории психологии игры. Феноменологический подход к выделению признаков игры. Кризис в создании общей теории игры. Преобладающее значение воображения при описании детской игры. Анализ непродуктивных предпосылок гипотез теории Д.Б. Элькониным. Связь игры и труда. Источник игровой мотивации. Методология исследования динамики игры.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момент игровой деятельности - мнимая ситуация (Л.С. Выготский).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Символическая функция игры у Л.С. Выготского. Положения об игре Д.Б. Эльконина.</w:t>
            </w:r>
          </w:p>
        </w:tc>
      </w:tr>
      <w:tr w:rsidR="00162AFE" w:rsidRPr="008E55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становления и развития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</w:tr>
      <w:tr w:rsidR="00162AFE">
        <w:trPr>
          <w:trHeight w:hRule="exact" w:val="31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период игры – предметная деятельность. Формирование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сенсорно-двигательной сферы. Развитие сенсорных систем в процессе взаимодействия с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близкими людьми. Развитие ориентации в пространстве и управление движениями на её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основе, появление повторных и цепных движений.Формирование представлений о свойствах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предмета, возможном результате действий с ним. Ориентировочно - исследовательская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 как форма поведения. Смена формул общения: «ребенок — взрослый» →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«ребенок — действия с предметом — взрослый». Воспроизводство в игре явлений,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подражание игре старших детей. Первые попытки конструирования. Появление игр с</w:t>
            </w:r>
          </w:p>
          <w:p w:rsidR="00162AFE" w:rsidRDefault="008E55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воображаемыми предметами. Совместные игры со взрослым.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к дошкольной игре.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Этапы развитие содержания игры и в младенчестве и раннем детстве. Ознакомительная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игра. Отобразительная игра. Сюжетно-отобразительная игра. Условия для формирования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сюжетно-отобразительнойигры.Особенность ролевых игр детей младшего дошкольного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 Ориентация действий ребёнка в игре. Эмоциональные переживании, общественная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 сокращение и обобщение действий в игре. Устойчивость к сюжету. Содержание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ролевой игры. Способность к подчинению правилу. Устойчивость к выполнению роли,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 игровых коллективов. Наполнение общения гуманными чувствами. Усвоение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коллективного поведения. Возникновение сюжетных игр в преддошкольном возрасте.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игры Синтетическая методика формирования игры. Этапы возникновения игры по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Фрадкиной Ф.И. .Стимулирование первых самостоятельных игр детей Тематические наборы.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 атрибутика. Обогащение сюжетной линии игры драматизацией.</w:t>
            </w:r>
          </w:p>
        </w:tc>
      </w:tr>
      <w:tr w:rsidR="00162A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игровой деятельности</w:t>
            </w: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дошкольников</w:t>
            </w:r>
          </w:p>
        </w:tc>
      </w:tr>
      <w:tr w:rsidR="00162AFE" w:rsidRPr="008E558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поведение ребёнка дошкольника. Формирование мотивационно-потребностного плана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посредством моделирования ситуации общения. Дидактические игры на развитие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 к орудийному применению предметов. Приём «Комментированное рисование».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руководства игрой. Соблюдение последовательности этапов в подготовке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в играх предметов-заместителей. Задачи обучения. Методические приёмы (по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годам обучения). Игра в процессе воспитания дошкольников. Основной подход при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 игровой деятельности.</w:t>
            </w:r>
          </w:p>
        </w:tc>
      </w:tr>
      <w:tr w:rsidR="00162AFE" w:rsidRPr="008E55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основных методов руководства игровой деятельностью дошкольников</w:t>
            </w:r>
          </w:p>
        </w:tc>
      </w:tr>
      <w:tr w:rsidR="00162AFE" w:rsidRPr="008E558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 формировании игры. Особенности развития игровой деятельности детей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второго и третьего года жизни. Основные задачи в обучении игре. Педагогические условия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игры детей младшего дошкольного возраста. Характеристика развития игровой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 Педагогические приёмы в руководстве самостоятельной игрой. Основное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игр. Знакомство с конструированием. Особенности игровой деятельности детей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 лет. Формирование ролевых способов игры. Новое содержание предметно-игровой среды.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коллективности. Наблюдения за природой. Педагогические условия обучения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игре детей в средней группе. Обогащение социального опыта детей в повседневной жизни.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 игры. Организация совместных игр воспитателем. Проблемные ситуации,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побуждающие к ролевому поведению. Педагогические условия обучения игре детей в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старшей группе. Процесс обогащение игрового опыта.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Предметы-игрушки. Типология игрушек по степени участия ребёнка в процессе игры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ними. Характеристика видов игрушек (по их использованию). Типология игрушек по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условности (схематичная условная, реалистическая, заместитель).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 направленные на формирование предметных действий. Игры, направленные на формирование предметно-игровых действий.</w:t>
            </w:r>
          </w:p>
        </w:tc>
      </w:tr>
      <w:tr w:rsidR="00162A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62AFE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Теоретические основы психологии игры</w:t>
            </w:r>
          </w:p>
        </w:tc>
      </w:tr>
      <w:tr w:rsidR="00162AFE" w:rsidRPr="008E558F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Исследования игры в работах зарубежных психологов (В.Шиллер, Г. Спенсер, К. Гросс, Ф.Бойтендайк, В. Штерн, З. Фрейд, К. Левин, Ж. Пиаже.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Понимание игры и воображения в работах К.Д. Ушинского. Терминологический анализ понятия «игра» П. Блонского.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3.Основные положения теории игры Л.С. Выготского, С.Л. Рубинштейна.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Социальная природа ролевой игры и концепция Д.Б. Эльконина.</w:t>
            </w:r>
          </w:p>
        </w:tc>
      </w:tr>
      <w:tr w:rsidR="00162AFE" w:rsidRPr="008E558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становления и развития</w:t>
            </w:r>
          </w:p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</w:tr>
      <w:tr w:rsidR="00162AFE" w:rsidRPr="008E558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Разделение предметной и игровой деятельности детей раннего возраста.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типичных игр детей в раннем детстве. Появление игровых замещений.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Процессуальная игра в раннем детском возрасте.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Игрушки и предметы, стимулирующие психическое развитие ребенка 1 – 3 лет.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Сюжетно-ролевая игра как ведущая деятельность дошкольного возраста.</w:t>
            </w:r>
          </w:p>
        </w:tc>
      </w:tr>
      <w:tr w:rsidR="00162AFE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игровой деятельности</w:t>
            </w:r>
          </w:p>
          <w:p w:rsidR="00162AFE" w:rsidRDefault="008E55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дошкольников</w:t>
            </w:r>
          </w:p>
        </w:tc>
      </w:tr>
      <w:tr w:rsidR="00162AFE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162A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2AFE" w:rsidRPr="008E558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основных методов руководства игровой деятельностью дошкольников</w:t>
            </w:r>
          </w:p>
        </w:tc>
      </w:tr>
      <w:tr w:rsidR="00162AFE" w:rsidRPr="008E558F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Усвоение детьми обобщённых способов действия с реальными и воображаемыми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предметами. Переход к активной замене освоенных действий словом.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Содержание работы педагога. Содержание действий воспитателя по этапам.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этапы и методические приемы руководством игровой деятельности дошкольников приёмы, направленные на формирование коммуникативной ориентировки.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Подготовка к новой развёрнутой игре (этапы). План проведения новой игры, направленной на возникновение игровых целей и их реализацию.</w:t>
            </w:r>
          </w:p>
        </w:tc>
      </w:tr>
      <w:tr w:rsidR="00162AFE" w:rsidRPr="008E55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162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62AFE" w:rsidRPr="008E558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игры» / Князева Наталья Николаевна. – Омск: Изд-во Омской гуманитарной академии, 0.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62AF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62AFE" w:rsidRPr="008E558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Авдулова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978-5-534-05718-8.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hyperlink r:id="rId4" w:history="1">
              <w:r w:rsidR="00D02720">
                <w:rPr>
                  <w:rStyle w:val="a3"/>
                  <w:lang w:val="ru-RU"/>
                </w:rPr>
                <w:t>https://urait.ru/bcode/454337</w:t>
              </w:r>
            </w:hyperlink>
            <w:r w:rsidRPr="008E558F">
              <w:rPr>
                <w:lang w:val="ru-RU"/>
              </w:rPr>
              <w:t xml:space="preserve"> </w:t>
            </w:r>
          </w:p>
        </w:tc>
      </w:tr>
      <w:tr w:rsidR="00162AFE">
        <w:trPr>
          <w:trHeight w:hRule="exact" w:val="304"/>
        </w:trPr>
        <w:tc>
          <w:tcPr>
            <w:tcW w:w="285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162AFE" w:rsidRDefault="008E55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Гасанова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hyperlink r:id="rId5" w:history="1">
              <w:r w:rsidR="00D02720">
                <w:rPr>
                  <w:rStyle w:val="a3"/>
                  <w:lang w:val="ru-RU"/>
                </w:rPr>
                <w:t>http://www.iprbookshop.ru/20417.html</w:t>
              </w:r>
            </w:hyperlink>
            <w:r w:rsidRPr="008E558F">
              <w:rPr>
                <w:lang w:val="ru-RU"/>
              </w:rPr>
              <w:t xml:space="preserve"> </w:t>
            </w:r>
          </w:p>
        </w:tc>
      </w:tr>
      <w:tr w:rsidR="00162AFE" w:rsidRPr="008E558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психотехнических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Маллаев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Гасанова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hyperlink r:id="rId6" w:history="1">
              <w:r w:rsidR="00D02720">
                <w:rPr>
                  <w:rStyle w:val="a3"/>
                  <w:lang w:val="ru-RU"/>
                </w:rPr>
                <w:t>http://www.iprbookshop.ru/20419.html</w:t>
              </w:r>
            </w:hyperlink>
            <w:r w:rsidRPr="008E558F">
              <w:rPr>
                <w:lang w:val="ru-RU"/>
              </w:rPr>
              <w:t xml:space="preserve"> </w:t>
            </w:r>
          </w:p>
        </w:tc>
      </w:tr>
      <w:tr w:rsidR="00162AFE" w:rsidRPr="008E558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Пальчиковые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Пальчиковые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РИПОЛ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классик,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978-5-386-05150-1.</w:t>
            </w:r>
            <w:r w:rsidRPr="008E558F">
              <w:rPr>
                <w:lang w:val="ru-RU"/>
              </w:rPr>
              <w:t xml:space="preserve"> 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5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558F">
              <w:rPr>
                <w:lang w:val="ru-RU"/>
              </w:rPr>
              <w:t xml:space="preserve"> </w:t>
            </w:r>
            <w:hyperlink r:id="rId7" w:history="1">
              <w:r w:rsidR="00D02720">
                <w:rPr>
                  <w:rStyle w:val="a3"/>
                  <w:lang w:val="ru-RU"/>
                </w:rPr>
                <w:t>http://www.iprbookshop.ru/71451.html</w:t>
              </w:r>
            </w:hyperlink>
            <w:r w:rsidRPr="008E558F">
              <w:rPr>
                <w:lang w:val="ru-RU"/>
              </w:rPr>
              <w:t xml:space="preserve"> </w:t>
            </w:r>
          </w:p>
        </w:tc>
      </w:tr>
      <w:tr w:rsidR="00162AFE" w:rsidRPr="008E55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62AFE" w:rsidRPr="008E558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34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62AFE" w:rsidRPr="008E55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62AFE" w:rsidRPr="008E558F">
        <w:trPr>
          <w:trHeight w:hRule="exact" w:val="25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112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62AFE" w:rsidRPr="008E55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62AFE" w:rsidRPr="008E55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62AFE" w:rsidRPr="008E558F" w:rsidRDefault="00162A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62AFE" w:rsidRDefault="008E55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62AFE" w:rsidRDefault="008E55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62AFE" w:rsidRPr="008E558F" w:rsidRDefault="00162A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1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62A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D027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34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62AFE" w:rsidRPr="008E55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34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62A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Default="008E5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62AFE" w:rsidRPr="008E558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62AFE" w:rsidRPr="008E558F">
        <w:trPr>
          <w:trHeight w:hRule="exact" w:val="277"/>
        </w:trPr>
        <w:tc>
          <w:tcPr>
            <w:tcW w:w="9640" w:type="dxa"/>
          </w:tcPr>
          <w:p w:rsidR="00162AFE" w:rsidRPr="008E558F" w:rsidRDefault="00162AFE">
            <w:pPr>
              <w:rPr>
                <w:lang w:val="ru-RU"/>
              </w:rPr>
            </w:pPr>
          </w:p>
        </w:tc>
      </w:tr>
      <w:tr w:rsidR="00162AFE" w:rsidRPr="008E55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62AFE" w:rsidRPr="008E558F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162AFE" w:rsidRPr="008E558F" w:rsidRDefault="008E558F">
      <w:pPr>
        <w:rPr>
          <w:sz w:val="0"/>
          <w:szCs w:val="0"/>
          <w:lang w:val="ru-RU"/>
        </w:rPr>
      </w:pPr>
      <w:r w:rsidRPr="008E55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2AFE" w:rsidRPr="008E558F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34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62AFE" w:rsidRPr="008E558F" w:rsidRDefault="008E5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62AFE" w:rsidRPr="008E558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2AFE" w:rsidRPr="008E558F" w:rsidRDefault="008E55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34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62AFE" w:rsidRPr="008E558F" w:rsidRDefault="00162AFE">
      <w:pPr>
        <w:rPr>
          <w:lang w:val="ru-RU"/>
        </w:rPr>
      </w:pPr>
    </w:p>
    <w:sectPr w:rsidR="00162AFE" w:rsidRPr="008E558F" w:rsidSect="00162A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2AFE"/>
    <w:rsid w:val="001F0BC7"/>
    <w:rsid w:val="002E4935"/>
    <w:rsid w:val="00340589"/>
    <w:rsid w:val="00463A8C"/>
    <w:rsid w:val="0080678C"/>
    <w:rsid w:val="008E558F"/>
    <w:rsid w:val="00A76F26"/>
    <w:rsid w:val="00D027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67753D-99B0-4C1C-A26B-D69AE61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58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7145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2041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20417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433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6421</Words>
  <Characters>36601</Characters>
  <Application>Microsoft Office Word</Application>
  <DocSecurity>0</DocSecurity>
  <Lines>305</Lines>
  <Paragraphs>85</Paragraphs>
  <ScaleCrop>false</ScaleCrop>
  <Company/>
  <LinksUpToDate>false</LinksUpToDate>
  <CharactersWithSpaces>42937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(ППДО)(21)_plx_Психология игры</dc:title>
  <dc:creator>FastReport.NET</dc:creator>
  <cp:lastModifiedBy>Mark Bernstorf</cp:lastModifiedBy>
  <cp:revision>7</cp:revision>
  <dcterms:created xsi:type="dcterms:W3CDTF">2022-02-08T06:48:00Z</dcterms:created>
  <dcterms:modified xsi:type="dcterms:W3CDTF">2022-11-13T13:39:00Z</dcterms:modified>
</cp:coreProperties>
</file>